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C47" w:rsidRPr="00F929FC" w:rsidRDefault="00F929FC" w:rsidP="00F929FC">
      <w:pPr>
        <w:jc w:val="center"/>
        <w:rPr>
          <w:rFonts w:ascii="楷体" w:eastAsia="楷体" w:hAnsi="楷体"/>
          <w:sz w:val="28"/>
          <w:szCs w:val="28"/>
        </w:rPr>
      </w:pPr>
      <w:r w:rsidRPr="00F929FC">
        <w:rPr>
          <w:rFonts w:ascii="楷体" w:eastAsia="楷体" w:hAnsi="楷体" w:hint="eastAsia"/>
          <w:sz w:val="28"/>
          <w:szCs w:val="28"/>
        </w:rPr>
        <w:t>如何进行两种数据的叠合</w:t>
      </w:r>
      <w:r w:rsidR="00FE51FF">
        <w:rPr>
          <w:rFonts w:ascii="楷体" w:eastAsia="楷体" w:hAnsi="楷体" w:hint="eastAsia"/>
          <w:sz w:val="28"/>
          <w:szCs w:val="28"/>
        </w:rPr>
        <w:t>透明</w:t>
      </w:r>
      <w:r w:rsidRPr="00F929FC">
        <w:rPr>
          <w:rFonts w:ascii="楷体" w:eastAsia="楷体" w:hAnsi="楷体" w:hint="eastAsia"/>
          <w:sz w:val="28"/>
          <w:szCs w:val="28"/>
        </w:rPr>
        <w:t>显示</w:t>
      </w:r>
    </w:p>
    <w:p w:rsidR="00F929FC" w:rsidRDefault="00FE51FF" w:rsidP="00FE51FF">
      <w:pPr>
        <w:rPr>
          <w:rFonts w:ascii="楷体" w:eastAsia="楷体" w:hAnsi="楷体" w:hint="eastAsia"/>
          <w:sz w:val="24"/>
          <w:szCs w:val="24"/>
        </w:rPr>
      </w:pPr>
      <w:r>
        <w:rPr>
          <w:rFonts w:hint="eastAsia"/>
        </w:rPr>
        <w:t xml:space="preserve">     </w:t>
      </w:r>
      <w:r w:rsidRPr="00FE51FF">
        <w:rPr>
          <w:rFonts w:ascii="楷体" w:eastAsia="楷体" w:hAnsi="楷体" w:hint="eastAsia"/>
          <w:sz w:val="24"/>
          <w:szCs w:val="24"/>
        </w:rPr>
        <w:t>属性透明显示是指选择</w:t>
      </w:r>
      <w:r w:rsidRPr="003A7E15">
        <w:rPr>
          <w:rFonts w:ascii="楷体" w:eastAsia="楷体" w:hAnsi="楷体" w:hint="eastAsia"/>
          <w:b/>
          <w:color w:val="C00000"/>
          <w:sz w:val="24"/>
          <w:szCs w:val="24"/>
        </w:rPr>
        <w:t>两个</w:t>
      </w:r>
      <w:r w:rsidRPr="00FE51FF">
        <w:rPr>
          <w:rFonts w:ascii="楷体" w:eastAsia="楷体" w:hAnsi="楷体" w:hint="eastAsia"/>
          <w:sz w:val="24"/>
          <w:szCs w:val="24"/>
        </w:rPr>
        <w:t>地震属性数据,以其中一个数据的剖面(或切片)为背景,另一个数据覆盖于其上进行叠合显示,下部</w:t>
      </w:r>
      <w:r w:rsidR="00734774">
        <w:rPr>
          <w:rFonts w:ascii="楷体" w:eastAsia="楷体" w:hAnsi="楷体" w:hint="eastAsia"/>
          <w:sz w:val="24"/>
          <w:szCs w:val="24"/>
        </w:rPr>
        <w:t>（背景）</w:t>
      </w:r>
      <w:r w:rsidRPr="00FE51FF">
        <w:rPr>
          <w:rFonts w:ascii="楷体" w:eastAsia="楷体" w:hAnsi="楷体" w:hint="eastAsia"/>
          <w:sz w:val="24"/>
          <w:szCs w:val="24"/>
        </w:rPr>
        <w:t>的剖面用变密度显示,上部</w:t>
      </w:r>
      <w:r w:rsidR="00734774">
        <w:rPr>
          <w:rFonts w:ascii="楷体" w:eastAsia="楷体" w:hAnsi="楷体" w:hint="eastAsia"/>
          <w:sz w:val="24"/>
          <w:szCs w:val="24"/>
        </w:rPr>
        <w:t>（前景）</w:t>
      </w:r>
      <w:r w:rsidRPr="00FE51FF">
        <w:rPr>
          <w:rFonts w:ascii="楷体" w:eastAsia="楷体" w:hAnsi="楷体" w:hint="eastAsia"/>
          <w:sz w:val="24"/>
          <w:szCs w:val="24"/>
        </w:rPr>
        <w:t>剖面可分别显示为变面积或变密度。通过对两张剖面颜色透明度的调节,达到需要的显示</w:t>
      </w:r>
      <w:r w:rsidR="00734774">
        <w:rPr>
          <w:rFonts w:ascii="楷体" w:eastAsia="楷体" w:hAnsi="楷体" w:hint="eastAsia"/>
          <w:sz w:val="24"/>
          <w:szCs w:val="24"/>
        </w:rPr>
        <w:t>效果</w:t>
      </w:r>
      <w:r w:rsidRPr="00FE51FF">
        <w:rPr>
          <w:rFonts w:ascii="楷体" w:eastAsia="楷体" w:hAnsi="楷体" w:hint="eastAsia"/>
          <w:sz w:val="24"/>
          <w:szCs w:val="24"/>
        </w:rPr>
        <w:t>。</w:t>
      </w:r>
      <w:r w:rsidR="00AC622E">
        <w:rPr>
          <w:rFonts w:ascii="楷体" w:eastAsia="楷体" w:hAnsi="楷体" w:hint="eastAsia"/>
          <w:sz w:val="24"/>
          <w:szCs w:val="24"/>
        </w:rPr>
        <w:t>目前此功能只支持三维工区。</w:t>
      </w:r>
    </w:p>
    <w:p w:rsidR="00734774" w:rsidRDefault="00F00BAF" w:rsidP="00F00BAF">
      <w:pPr>
        <w:jc w:val="center"/>
        <w:rPr>
          <w:rFonts w:ascii="楷体" w:eastAsia="楷体" w:hAnsi="楷体" w:hint="eastAsia"/>
          <w:sz w:val="24"/>
          <w:szCs w:val="24"/>
        </w:rPr>
      </w:pPr>
      <w:r w:rsidRPr="00F00BAF">
        <w:rPr>
          <w:rFonts w:ascii="楷体" w:eastAsia="楷体" w:hAnsi="楷体"/>
          <w:sz w:val="24"/>
          <w:szCs w:val="24"/>
        </w:rPr>
        <w:drawing>
          <wp:inline distT="0" distB="0" distL="0" distR="0">
            <wp:extent cx="4925102" cy="2438400"/>
            <wp:effectExtent l="19050" t="0" r="8848" b="0"/>
            <wp:docPr id="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426" cy="2438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BAF" w:rsidRDefault="00F00BAF" w:rsidP="00F00BAF">
      <w:pPr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背景为变密度、前景变面积显示叠合显示</w:t>
      </w:r>
    </w:p>
    <w:p w:rsidR="00F00BAF" w:rsidRDefault="00F00BAF" w:rsidP="00F00BAF">
      <w:pPr>
        <w:rPr>
          <w:rFonts w:ascii="楷体" w:eastAsia="楷体" w:hAnsi="楷体" w:hint="eastAsia"/>
          <w:sz w:val="24"/>
          <w:szCs w:val="24"/>
        </w:rPr>
      </w:pPr>
    </w:p>
    <w:p w:rsidR="00734774" w:rsidRPr="00B40ACE" w:rsidRDefault="00AC622E" w:rsidP="00FE51FF">
      <w:pPr>
        <w:rPr>
          <w:rFonts w:ascii="楷体" w:eastAsia="楷体" w:hAnsi="楷体" w:hint="eastAsia"/>
          <w:b/>
          <w:sz w:val="24"/>
          <w:szCs w:val="24"/>
        </w:rPr>
      </w:pPr>
      <w:r w:rsidRPr="00B40ACE">
        <w:rPr>
          <w:rFonts w:ascii="楷体" w:eastAsia="楷体" w:hAnsi="楷体" w:hint="eastAsia"/>
          <w:b/>
          <w:sz w:val="24"/>
          <w:szCs w:val="24"/>
        </w:rPr>
        <w:t>一、叠合透明显示功能启动</w:t>
      </w:r>
    </w:p>
    <w:p w:rsidR="00AC622E" w:rsidRDefault="00AC622E" w:rsidP="00FD5D41">
      <w:pPr>
        <w:ind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在构造解释</w:t>
      </w: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150147" cy="141047"/>
            <wp:effectExtent l="19050" t="0" r="2253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18" cy="141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4"/>
          <w:szCs w:val="24"/>
        </w:rPr>
        <w:t>中，</w:t>
      </w:r>
      <w:r w:rsidR="00C110F9">
        <w:rPr>
          <w:rFonts w:ascii="楷体" w:eastAsia="楷体" w:hAnsi="楷体" w:hint="eastAsia"/>
          <w:sz w:val="24"/>
          <w:szCs w:val="24"/>
        </w:rPr>
        <w:t>选择</w:t>
      </w:r>
      <w:r>
        <w:rPr>
          <w:rFonts w:ascii="楷体" w:eastAsia="楷体" w:hAnsi="楷体" w:hint="eastAsia"/>
          <w:sz w:val="24"/>
          <w:szCs w:val="24"/>
        </w:rPr>
        <w:t>Seismic菜单下的Multiple Attributes Transparent</w:t>
      </w:r>
      <w:r w:rsidR="00C110F9">
        <w:rPr>
          <w:rFonts w:ascii="楷体" w:eastAsia="楷体" w:hAnsi="楷体" w:hint="eastAsia"/>
          <w:sz w:val="24"/>
          <w:szCs w:val="24"/>
        </w:rPr>
        <w:t>菜单项，启动叠合透明显示功能</w:t>
      </w:r>
      <w:r w:rsidR="003A7E15">
        <w:rPr>
          <w:rFonts w:ascii="楷体" w:eastAsia="楷体" w:hAnsi="楷体" w:hint="eastAsia"/>
          <w:sz w:val="24"/>
          <w:szCs w:val="24"/>
        </w:rPr>
        <w:t>，如下图</w:t>
      </w:r>
      <w:r w:rsidR="00C110F9">
        <w:rPr>
          <w:rFonts w:ascii="楷体" w:eastAsia="楷体" w:hAnsi="楷体" w:hint="eastAsia"/>
          <w:sz w:val="24"/>
          <w:szCs w:val="24"/>
        </w:rPr>
        <w:t>。</w:t>
      </w:r>
    </w:p>
    <w:p w:rsidR="00FD5D41" w:rsidRDefault="00FD5D41" w:rsidP="00FD5D41">
      <w:pPr>
        <w:ind w:firstLine="48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2149359" cy="2225040"/>
            <wp:effectExtent l="19050" t="0" r="3291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975" cy="2224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89D" w:rsidRDefault="00B8089D" w:rsidP="00FD5D41">
      <w:pPr>
        <w:ind w:firstLine="480"/>
        <w:rPr>
          <w:rFonts w:ascii="楷体" w:eastAsia="楷体" w:hAnsi="楷体" w:hint="eastAsia"/>
          <w:sz w:val="24"/>
          <w:szCs w:val="24"/>
        </w:rPr>
      </w:pPr>
    </w:p>
    <w:p w:rsidR="003A7E15" w:rsidRPr="00B40ACE" w:rsidRDefault="00B8089D" w:rsidP="00B8089D">
      <w:pPr>
        <w:rPr>
          <w:rFonts w:ascii="楷体" w:eastAsia="楷体" w:hAnsi="楷体" w:hint="eastAsia"/>
          <w:b/>
          <w:sz w:val="24"/>
          <w:szCs w:val="24"/>
        </w:rPr>
      </w:pPr>
      <w:r w:rsidRPr="00B40ACE">
        <w:rPr>
          <w:rFonts w:ascii="楷体" w:eastAsia="楷体" w:hAnsi="楷体" w:hint="eastAsia"/>
          <w:b/>
          <w:sz w:val="24"/>
          <w:szCs w:val="24"/>
        </w:rPr>
        <w:t>二、</w:t>
      </w:r>
      <w:r w:rsidR="00F1215E">
        <w:rPr>
          <w:rFonts w:ascii="楷体" w:eastAsia="楷体" w:hAnsi="楷体" w:hint="eastAsia"/>
          <w:b/>
          <w:sz w:val="24"/>
          <w:szCs w:val="24"/>
        </w:rPr>
        <w:t>四</w:t>
      </w:r>
      <w:r w:rsidR="003A7E15" w:rsidRPr="00B40ACE">
        <w:rPr>
          <w:rFonts w:ascii="楷体" w:eastAsia="楷体" w:hAnsi="楷体" w:hint="eastAsia"/>
          <w:b/>
          <w:sz w:val="24"/>
          <w:szCs w:val="24"/>
        </w:rPr>
        <w:t>点</w:t>
      </w:r>
      <w:r w:rsidRPr="00B40ACE">
        <w:rPr>
          <w:rFonts w:ascii="楷体" w:eastAsia="楷体" w:hAnsi="楷体" w:hint="eastAsia"/>
          <w:b/>
          <w:sz w:val="24"/>
          <w:szCs w:val="24"/>
        </w:rPr>
        <w:t>说明</w:t>
      </w:r>
    </w:p>
    <w:p w:rsidR="00FD5D41" w:rsidRPr="003A7E15" w:rsidRDefault="003A7E15" w:rsidP="00C1300F">
      <w:pPr>
        <w:pStyle w:val="a6"/>
        <w:numPr>
          <w:ilvl w:val="0"/>
          <w:numId w:val="1"/>
        </w:numPr>
        <w:ind w:left="851" w:firstLineChars="0" w:hanging="371"/>
        <w:rPr>
          <w:rFonts w:ascii="楷体" w:eastAsia="楷体" w:hAnsi="楷体" w:hint="eastAsia"/>
          <w:sz w:val="24"/>
          <w:szCs w:val="24"/>
        </w:rPr>
      </w:pPr>
      <w:r w:rsidRPr="003A7E15">
        <w:rPr>
          <w:rFonts w:ascii="楷体" w:eastAsia="楷体" w:hAnsi="楷体" w:hint="eastAsia"/>
          <w:sz w:val="24"/>
          <w:szCs w:val="24"/>
        </w:rPr>
        <w:t>界面中Transparent Type下，VA（变面积）和VD（变密度）选项是用来控制</w:t>
      </w:r>
      <w:r w:rsidRPr="00B8089D">
        <w:rPr>
          <w:rFonts w:ascii="楷体" w:eastAsia="楷体" w:hAnsi="楷体" w:hint="eastAsia"/>
          <w:b/>
          <w:color w:val="C00000"/>
          <w:sz w:val="24"/>
          <w:szCs w:val="24"/>
        </w:rPr>
        <w:t>前景数据</w:t>
      </w:r>
      <w:r w:rsidRPr="003A7E15">
        <w:rPr>
          <w:rFonts w:ascii="楷体" w:eastAsia="楷体" w:hAnsi="楷体" w:hint="eastAsia"/>
          <w:sz w:val="24"/>
          <w:szCs w:val="24"/>
        </w:rPr>
        <w:t>的显示类型。</w:t>
      </w:r>
    </w:p>
    <w:p w:rsidR="004C3D36" w:rsidRDefault="00C1300F" w:rsidP="00C1300F">
      <w:pPr>
        <w:pStyle w:val="a6"/>
        <w:numPr>
          <w:ilvl w:val="0"/>
          <w:numId w:val="1"/>
        </w:numPr>
        <w:ind w:left="851" w:firstLineChars="0" w:hanging="425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“</w:t>
      </w:r>
      <w:r w:rsidR="003A7E15">
        <w:rPr>
          <w:rFonts w:ascii="楷体" w:eastAsia="楷体" w:hAnsi="楷体" w:hint="eastAsia"/>
          <w:sz w:val="24"/>
          <w:szCs w:val="24"/>
        </w:rPr>
        <w:t>Selected Data Volume”列表中</w:t>
      </w:r>
      <w:r>
        <w:rPr>
          <w:rFonts w:ascii="楷体" w:eastAsia="楷体" w:hAnsi="楷体" w:hint="eastAsia"/>
          <w:sz w:val="24"/>
          <w:szCs w:val="24"/>
        </w:rPr>
        <w:t>（如下图）的两个数据，从上到下</w:t>
      </w:r>
      <w:r w:rsidR="004C3D36">
        <w:rPr>
          <w:rFonts w:ascii="楷体" w:eastAsia="楷体" w:hAnsi="楷体" w:hint="eastAsia"/>
          <w:sz w:val="24"/>
          <w:szCs w:val="24"/>
        </w:rPr>
        <w:t>:</w:t>
      </w:r>
    </w:p>
    <w:p w:rsidR="004C3D36" w:rsidRDefault="00C1300F" w:rsidP="004C3D36">
      <w:pPr>
        <w:pStyle w:val="a6"/>
        <w:ind w:left="851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第一个代表</w:t>
      </w:r>
      <w:r w:rsidRPr="00B8089D">
        <w:rPr>
          <w:rFonts w:ascii="楷体" w:eastAsia="楷体" w:hAnsi="楷体" w:hint="eastAsia"/>
          <w:b/>
          <w:color w:val="C00000"/>
          <w:sz w:val="24"/>
          <w:szCs w:val="24"/>
        </w:rPr>
        <w:t>背景数据</w:t>
      </w:r>
      <w:r>
        <w:rPr>
          <w:rFonts w:ascii="楷体" w:eastAsia="楷体" w:hAnsi="楷体" w:hint="eastAsia"/>
          <w:sz w:val="24"/>
          <w:szCs w:val="24"/>
        </w:rPr>
        <w:t>（</w:t>
      </w:r>
      <w:r w:rsidRPr="00C1300F">
        <w:rPr>
          <w:rFonts w:ascii="楷体" w:eastAsia="楷体" w:hAnsi="楷体" w:hint="eastAsia"/>
          <w:sz w:val="18"/>
          <w:szCs w:val="18"/>
        </w:rPr>
        <w:t>180207_PeakSubAmp_HighlightVolume</w:t>
      </w:r>
      <w:r>
        <w:rPr>
          <w:rFonts w:ascii="楷体" w:eastAsia="楷体" w:hAnsi="楷体" w:hint="eastAsia"/>
          <w:sz w:val="24"/>
          <w:szCs w:val="24"/>
        </w:rPr>
        <w:t>），</w:t>
      </w:r>
    </w:p>
    <w:p w:rsidR="00C1300F" w:rsidRDefault="00C1300F" w:rsidP="004C3D36">
      <w:pPr>
        <w:pStyle w:val="a6"/>
        <w:ind w:left="851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第二个代表</w:t>
      </w:r>
      <w:r w:rsidR="00B8089D" w:rsidRPr="00B8089D">
        <w:rPr>
          <w:rFonts w:ascii="楷体" w:eastAsia="楷体" w:hAnsi="楷体" w:hint="eastAsia"/>
          <w:b/>
          <w:color w:val="C00000"/>
          <w:sz w:val="24"/>
          <w:szCs w:val="24"/>
        </w:rPr>
        <w:t>前</w:t>
      </w:r>
      <w:r w:rsidRPr="00B8089D">
        <w:rPr>
          <w:rFonts w:ascii="楷体" w:eastAsia="楷体" w:hAnsi="楷体" w:hint="eastAsia"/>
          <w:b/>
          <w:color w:val="C00000"/>
          <w:sz w:val="24"/>
          <w:szCs w:val="24"/>
        </w:rPr>
        <w:t>景数据</w:t>
      </w:r>
      <w:r>
        <w:rPr>
          <w:rFonts w:ascii="楷体" w:eastAsia="楷体" w:hAnsi="楷体" w:hint="eastAsia"/>
          <w:sz w:val="24"/>
          <w:szCs w:val="24"/>
        </w:rPr>
        <w:t>(</w:t>
      </w:r>
      <w:r w:rsidRPr="004C3D36">
        <w:rPr>
          <w:rFonts w:ascii="楷体" w:eastAsia="楷体" w:hAnsi="楷体" w:hint="eastAsia"/>
          <w:sz w:val="18"/>
          <w:szCs w:val="18"/>
        </w:rPr>
        <w:t>OpenTect.reample.lqh</w:t>
      </w:r>
      <w:r>
        <w:rPr>
          <w:rFonts w:ascii="楷体" w:eastAsia="楷体" w:hAnsi="楷体" w:hint="eastAsia"/>
          <w:sz w:val="24"/>
          <w:szCs w:val="24"/>
        </w:rPr>
        <w:t>)。</w:t>
      </w:r>
    </w:p>
    <w:p w:rsidR="003A7E15" w:rsidRDefault="0074403B" w:rsidP="00C1300F">
      <w:pPr>
        <w:pStyle w:val="a6"/>
        <w:ind w:leftChars="405" w:left="850" w:firstLineChars="450" w:firstLine="1080"/>
        <w:jc w:val="left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lastRenderedPageBreak/>
        <w:pict>
          <v:roundrect id="_x0000_s2057" style="position:absolute;left:0;text-align:left;margin-left:107.6pt;margin-top:22.8pt;width:142.4pt;height:11.35pt;z-index:251664384" arcsize="10923f" filled="f" strokecolor="red"/>
        </w:pict>
      </w:r>
      <w:r>
        <w:rPr>
          <w:rFonts w:ascii="楷体" w:eastAsia="楷体" w:hAnsi="楷体" w:hint="eastAsia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5" type="#_x0000_t202" style="position:absolute;left:0;text-align:left;margin-left:266.4pt;margin-top:8pt;width:68.6pt;height:23.05pt;z-index:251662336;mso-height-percent:200;mso-height-percent:200;mso-width-relative:margin;mso-height-relative:margin" strokecolor="red" strokeweight=".25pt">
            <v:textbox style="mso-fit-shape-to-text:t">
              <w:txbxContent>
                <w:p w:rsidR="0074403B" w:rsidRDefault="0074403B" w:rsidP="0074403B">
                  <w:r>
                    <w:rPr>
                      <w:rFonts w:hint="eastAsia"/>
                    </w:rPr>
                    <w:t>背景数据</w:t>
                  </w:r>
                </w:p>
              </w:txbxContent>
            </v:textbox>
          </v:shape>
        </w:pict>
      </w:r>
      <w:r>
        <w:rPr>
          <w:rFonts w:ascii="楷体" w:eastAsia="楷体" w:hAnsi="楷体" w:hint="eastAsia"/>
          <w:noProof/>
          <w:sz w:val="24"/>
          <w:szCs w:val="24"/>
        </w:rPr>
        <w:pict>
          <v:shape id="_x0000_s2056" type="#_x0000_t202" style="position:absolute;left:0;text-align:left;margin-left:266.4pt;margin-top:34pt;width:68.6pt;height:23.05pt;z-index:251663360;mso-height-percent:200;mso-height-percent:200;mso-width-relative:margin;mso-height-relative:margin" strokeweight=".25pt">
            <v:textbox style="mso-fit-shape-to-text:t">
              <w:txbxContent>
                <w:p w:rsidR="0074403B" w:rsidRDefault="0074403B" w:rsidP="0074403B">
                  <w:r>
                    <w:rPr>
                      <w:rFonts w:hint="eastAsia"/>
                    </w:rPr>
                    <w:t>前景数据</w:t>
                  </w:r>
                </w:p>
              </w:txbxContent>
            </v:textbox>
          </v:shape>
        </w:pict>
      </w:r>
      <w:r w:rsidR="00C1300F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084070" cy="645160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70" cy="64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D36" w:rsidRDefault="004C3D36" w:rsidP="004C3D36">
      <w:pPr>
        <w:ind w:firstLineChars="175" w:firstLine="420"/>
        <w:jc w:val="left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3)Parameters按钮弹出的显示参数设置，是针对</w:t>
      </w:r>
      <w:r w:rsidRPr="00B8089D">
        <w:rPr>
          <w:rFonts w:ascii="楷体" w:eastAsia="楷体" w:hAnsi="楷体" w:hint="eastAsia"/>
          <w:b/>
          <w:color w:val="C00000"/>
          <w:sz w:val="24"/>
          <w:szCs w:val="24"/>
        </w:rPr>
        <w:t>背景数据</w:t>
      </w:r>
      <w:r>
        <w:rPr>
          <w:rFonts w:ascii="楷体" w:eastAsia="楷体" w:hAnsi="楷体" w:hint="eastAsia"/>
          <w:sz w:val="24"/>
          <w:szCs w:val="24"/>
        </w:rPr>
        <w:t>的。</w:t>
      </w:r>
    </w:p>
    <w:p w:rsidR="00F1215E" w:rsidRDefault="00F1215E" w:rsidP="00F00BAF">
      <w:pPr>
        <w:ind w:firstLineChars="175" w:firstLine="42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4)数据显示后，如果需要调整色标，在显示区右键菜单Colormap中可分别调整背景和前景色标。</w:t>
      </w:r>
    </w:p>
    <w:p w:rsidR="00F00BAF" w:rsidRDefault="00F00BAF" w:rsidP="00F00BAF">
      <w:pPr>
        <w:ind w:firstLineChars="175" w:firstLine="42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</w:t>
      </w:r>
      <w:r w:rsidR="00F1215E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1987550" cy="1600264"/>
            <wp:effectExtent l="19050" t="0" r="0" b="0"/>
            <wp:docPr id="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586" cy="1601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BAF" w:rsidRPr="00B40ACE" w:rsidRDefault="00B40ACE" w:rsidP="00F00BAF">
      <w:pPr>
        <w:rPr>
          <w:rFonts w:ascii="楷体" w:eastAsia="楷体" w:hAnsi="楷体" w:hint="eastAsia"/>
          <w:b/>
          <w:noProof/>
          <w:sz w:val="24"/>
          <w:szCs w:val="24"/>
        </w:rPr>
      </w:pPr>
      <w:r w:rsidRPr="00B40ACE">
        <w:rPr>
          <w:rFonts w:ascii="楷体" w:eastAsia="楷体" w:hAnsi="楷体" w:hint="eastAsia"/>
          <w:b/>
          <w:noProof/>
          <w:sz w:val="24"/>
          <w:szCs w:val="24"/>
        </w:rPr>
        <w:t>三、不同的显示效果</w:t>
      </w:r>
    </w:p>
    <w:p w:rsidR="00F00BAF" w:rsidRDefault="00F00BAF" w:rsidP="00B40ACE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通过不同参数的组合方式，可以实现如下三种显示：</w:t>
      </w:r>
    </w:p>
    <w:p w:rsidR="00F00BAF" w:rsidRPr="00A26086" w:rsidRDefault="00F00BAF" w:rsidP="00A26086">
      <w:pPr>
        <w:pStyle w:val="a6"/>
        <w:numPr>
          <w:ilvl w:val="0"/>
          <w:numId w:val="4"/>
        </w:numPr>
        <w:ind w:firstLineChars="0"/>
        <w:rPr>
          <w:rFonts w:ascii="楷体" w:eastAsia="楷体" w:hAnsi="楷体" w:hint="eastAsia"/>
          <w:sz w:val="24"/>
          <w:szCs w:val="24"/>
        </w:rPr>
      </w:pPr>
      <w:r w:rsidRPr="00A26086">
        <w:rPr>
          <w:rFonts w:ascii="楷体" w:eastAsia="楷体" w:hAnsi="楷体" w:hint="eastAsia"/>
          <w:sz w:val="24"/>
          <w:szCs w:val="24"/>
        </w:rPr>
        <w:t>前景波形变面积，背景变密度</w:t>
      </w:r>
    </w:p>
    <w:p w:rsidR="00A26086" w:rsidRPr="00A26086" w:rsidRDefault="00A26086" w:rsidP="00A26086">
      <w:pPr>
        <w:pStyle w:val="a6"/>
        <w:ind w:left="828" w:firstLineChars="0" w:firstLine="0"/>
        <w:jc w:val="center"/>
        <w:rPr>
          <w:rFonts w:ascii="楷体" w:eastAsia="楷体" w:hAnsi="楷体" w:hint="eastAsia"/>
          <w:sz w:val="24"/>
          <w:szCs w:val="24"/>
        </w:rPr>
      </w:pPr>
      <w:r w:rsidRPr="00A26086">
        <w:rPr>
          <w:rFonts w:ascii="楷体" w:eastAsia="楷体" w:hAnsi="楷体" w:hint="eastAsia"/>
          <w:sz w:val="24"/>
          <w:szCs w:val="24"/>
        </w:rPr>
        <w:drawing>
          <wp:inline distT="0" distB="0" distL="0" distR="0">
            <wp:extent cx="2415540" cy="1178560"/>
            <wp:effectExtent l="19050" t="0" r="3810" b="0"/>
            <wp:docPr id="8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12037" t="20244" r="27279" b="23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1178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BAF" w:rsidRPr="00A26086" w:rsidRDefault="00F00BAF" w:rsidP="00A26086">
      <w:pPr>
        <w:pStyle w:val="a6"/>
        <w:numPr>
          <w:ilvl w:val="0"/>
          <w:numId w:val="4"/>
        </w:numPr>
        <w:ind w:firstLineChars="0"/>
        <w:rPr>
          <w:rFonts w:ascii="楷体" w:eastAsia="楷体" w:hAnsi="楷体" w:hint="eastAsia"/>
          <w:sz w:val="24"/>
          <w:szCs w:val="24"/>
        </w:rPr>
      </w:pPr>
      <w:r w:rsidRPr="00A26086">
        <w:rPr>
          <w:rFonts w:ascii="楷体" w:eastAsia="楷体" w:hAnsi="楷体" w:hint="eastAsia"/>
          <w:sz w:val="24"/>
          <w:szCs w:val="24"/>
        </w:rPr>
        <w:t>前景变密度，背景变密度</w:t>
      </w:r>
    </w:p>
    <w:p w:rsidR="00A26086" w:rsidRPr="00A26086" w:rsidRDefault="00A26086" w:rsidP="00A26086">
      <w:pPr>
        <w:pStyle w:val="a6"/>
        <w:ind w:left="828" w:firstLineChars="0" w:firstLine="0"/>
        <w:jc w:val="center"/>
        <w:rPr>
          <w:rFonts w:ascii="楷体" w:eastAsia="楷体" w:hAnsi="楷体" w:hint="eastAsia"/>
          <w:sz w:val="24"/>
          <w:szCs w:val="24"/>
        </w:rPr>
      </w:pPr>
      <w:r w:rsidRPr="00A26086">
        <w:rPr>
          <w:rFonts w:ascii="楷体" w:eastAsia="楷体" w:hAnsi="楷体" w:hint="eastAsia"/>
          <w:sz w:val="24"/>
          <w:szCs w:val="24"/>
        </w:rPr>
        <w:drawing>
          <wp:inline distT="0" distB="0" distL="0" distR="0">
            <wp:extent cx="2414270" cy="1203960"/>
            <wp:effectExtent l="19050" t="0" r="5080" b="0"/>
            <wp:docPr id="9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29689" t="12727" r="5631" b="2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270" cy="1203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BAF" w:rsidRPr="00A26086" w:rsidRDefault="00F00BAF" w:rsidP="00A26086">
      <w:pPr>
        <w:pStyle w:val="a6"/>
        <w:numPr>
          <w:ilvl w:val="0"/>
          <w:numId w:val="4"/>
        </w:numPr>
        <w:ind w:firstLineChars="0"/>
        <w:rPr>
          <w:rFonts w:ascii="楷体" w:eastAsia="楷体" w:hAnsi="楷体" w:hint="eastAsia"/>
          <w:sz w:val="24"/>
          <w:szCs w:val="24"/>
        </w:rPr>
      </w:pPr>
      <w:r w:rsidRPr="00A26086">
        <w:rPr>
          <w:rFonts w:ascii="楷体" w:eastAsia="楷体" w:hAnsi="楷体" w:hint="eastAsia"/>
          <w:sz w:val="24"/>
          <w:szCs w:val="24"/>
        </w:rPr>
        <w:t>前景波形变面积，背景波形变面积</w:t>
      </w:r>
    </w:p>
    <w:p w:rsidR="00A26086" w:rsidRPr="00A26086" w:rsidRDefault="00A26086" w:rsidP="00A26086">
      <w:pPr>
        <w:pStyle w:val="a6"/>
        <w:ind w:left="828" w:firstLineChars="0" w:firstLine="0"/>
        <w:jc w:val="center"/>
        <w:rPr>
          <w:rFonts w:ascii="楷体" w:eastAsia="楷体" w:hAnsi="楷体" w:hint="eastAsia"/>
          <w:sz w:val="24"/>
          <w:szCs w:val="24"/>
        </w:rPr>
      </w:pPr>
      <w:r w:rsidRPr="00A26086">
        <w:rPr>
          <w:rFonts w:ascii="楷体" w:eastAsia="楷体" w:hAnsi="楷体" w:hint="eastAsia"/>
          <w:sz w:val="24"/>
          <w:szCs w:val="24"/>
        </w:rPr>
        <w:drawing>
          <wp:inline distT="0" distB="0" distL="0" distR="0">
            <wp:extent cx="2663190" cy="1305560"/>
            <wp:effectExtent l="19050" t="0" r="3810" b="0"/>
            <wp:docPr id="11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8169" t="20676" r="23484" b="28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190" cy="1305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BAF" w:rsidRDefault="00B40ACE" w:rsidP="00B40ACE">
      <w:pPr>
        <w:ind w:firstLine="468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下面分别对三种显示方式做一介绍。</w:t>
      </w:r>
    </w:p>
    <w:p w:rsidR="00B40ACE" w:rsidRPr="001270A4" w:rsidRDefault="00B40ACE" w:rsidP="00B40ACE">
      <w:pPr>
        <w:pStyle w:val="a6"/>
        <w:numPr>
          <w:ilvl w:val="0"/>
          <w:numId w:val="2"/>
        </w:numPr>
        <w:ind w:firstLineChars="0"/>
        <w:rPr>
          <w:rFonts w:ascii="楷体" w:eastAsia="楷体" w:hAnsi="楷体" w:hint="eastAsia"/>
          <w:b/>
          <w:sz w:val="24"/>
          <w:szCs w:val="24"/>
        </w:rPr>
      </w:pPr>
      <w:r w:rsidRPr="001270A4">
        <w:rPr>
          <w:rFonts w:ascii="楷体" w:eastAsia="楷体" w:hAnsi="楷体" w:hint="eastAsia"/>
          <w:b/>
          <w:sz w:val="24"/>
          <w:szCs w:val="24"/>
        </w:rPr>
        <w:t>前景波形变面积，背景变密度</w:t>
      </w:r>
    </w:p>
    <w:p w:rsidR="00F372EB" w:rsidRDefault="00F372EB" w:rsidP="00F372EB">
      <w:pPr>
        <w:pStyle w:val="a6"/>
        <w:ind w:left="948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此种显示方式下，通常前景数据选择地震数据，背景数据选择各种属性</w:t>
      </w:r>
      <w:r>
        <w:rPr>
          <w:rFonts w:ascii="楷体" w:eastAsia="楷体" w:hAnsi="楷体" w:hint="eastAsia"/>
          <w:sz w:val="24"/>
          <w:szCs w:val="24"/>
        </w:rPr>
        <w:lastRenderedPageBreak/>
        <w:t>和反演结果数据。一般用来描述储层与地震波形的关系。</w:t>
      </w:r>
    </w:p>
    <w:p w:rsidR="00F1215E" w:rsidRDefault="00F1215E" w:rsidP="00F1215E">
      <w:pPr>
        <w:pStyle w:val="a6"/>
        <w:ind w:left="948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4283004" cy="2311400"/>
            <wp:effectExtent l="19050" t="0" r="3246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5377" cy="2312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42D" w:rsidRDefault="00B1042D" w:rsidP="00F1215E">
      <w:pPr>
        <w:pStyle w:val="a6"/>
        <w:ind w:left="948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 参数选择</w:t>
      </w:r>
    </w:p>
    <w:p w:rsidR="00F372EB" w:rsidRDefault="00F372EB" w:rsidP="00F372EB">
      <w:pPr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hint="eastAsia"/>
          <w:noProof/>
        </w:rPr>
        <w:drawing>
          <wp:inline distT="0" distB="0" distL="0" distR="0">
            <wp:extent cx="3972332" cy="2082800"/>
            <wp:effectExtent l="19050" t="0" r="9118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248" cy="2084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72EB" w:rsidRDefault="00F372EB" w:rsidP="00F372EB">
      <w:pPr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背景为变密度、前景变面积显示叠合显示</w:t>
      </w:r>
    </w:p>
    <w:p w:rsidR="00F372EB" w:rsidRDefault="00F372EB" w:rsidP="00F372EB">
      <w:pPr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如果需要调整背景显示颜色，在显示区右键菜单Colormap-&gt;Background Colormap进行调整。</w:t>
      </w:r>
    </w:p>
    <w:p w:rsidR="00F372EB" w:rsidRPr="00F372EB" w:rsidRDefault="00F372EB" w:rsidP="00F372EB">
      <w:pPr>
        <w:rPr>
          <w:rFonts w:ascii="楷体" w:eastAsia="楷体" w:hAnsi="楷体" w:hint="eastAsia"/>
          <w:sz w:val="24"/>
          <w:szCs w:val="24"/>
        </w:rPr>
      </w:pPr>
    </w:p>
    <w:p w:rsidR="00B40ACE" w:rsidRPr="001270A4" w:rsidRDefault="00B40ACE" w:rsidP="00B40ACE">
      <w:pPr>
        <w:pStyle w:val="a6"/>
        <w:numPr>
          <w:ilvl w:val="0"/>
          <w:numId w:val="2"/>
        </w:numPr>
        <w:ind w:firstLineChars="0"/>
        <w:rPr>
          <w:rFonts w:ascii="楷体" w:eastAsia="楷体" w:hAnsi="楷体" w:hint="eastAsia"/>
          <w:b/>
          <w:sz w:val="24"/>
          <w:szCs w:val="24"/>
        </w:rPr>
      </w:pPr>
      <w:r w:rsidRPr="001270A4">
        <w:rPr>
          <w:rFonts w:ascii="楷体" w:eastAsia="楷体" w:hAnsi="楷体" w:hint="eastAsia"/>
          <w:b/>
          <w:sz w:val="24"/>
          <w:szCs w:val="24"/>
        </w:rPr>
        <w:t>前景变密度，背景变密度</w:t>
      </w:r>
    </w:p>
    <w:p w:rsidR="00E50CDA" w:rsidRDefault="00E50CDA" w:rsidP="00F1215E">
      <w:pPr>
        <w:pStyle w:val="a6"/>
        <w:ind w:left="948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此种显示方式下，通常前景数据和背景数据是各种属性和反演结果数据。一般用来描述储层或者流体</w:t>
      </w:r>
      <w:r w:rsidR="00B1042D">
        <w:rPr>
          <w:rFonts w:ascii="楷体" w:eastAsia="楷体" w:hAnsi="楷体" w:hint="eastAsia"/>
          <w:sz w:val="24"/>
          <w:szCs w:val="24"/>
        </w:rPr>
        <w:t>在两个不同属性中的反应</w:t>
      </w:r>
      <w:r>
        <w:rPr>
          <w:rFonts w:ascii="楷体" w:eastAsia="楷体" w:hAnsi="楷体" w:hint="eastAsia"/>
          <w:sz w:val="24"/>
          <w:szCs w:val="24"/>
        </w:rPr>
        <w:t>。</w:t>
      </w:r>
    </w:p>
    <w:p w:rsidR="00B1042D" w:rsidRPr="00E50CDA" w:rsidRDefault="00B1042D" w:rsidP="00F1215E">
      <w:pPr>
        <w:pStyle w:val="a6"/>
        <w:ind w:left="948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第一步：选择参数，如下图。</w:t>
      </w:r>
    </w:p>
    <w:p w:rsidR="00F1215E" w:rsidRDefault="00F372EB" w:rsidP="00F1215E">
      <w:pPr>
        <w:pStyle w:val="a6"/>
        <w:ind w:left="948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3811270" cy="2056376"/>
            <wp:effectExtent l="1905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940" cy="205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42D" w:rsidRDefault="00B1042D" w:rsidP="00F1215E">
      <w:pPr>
        <w:pStyle w:val="a6"/>
        <w:ind w:left="948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lastRenderedPageBreak/>
        <w:t xml:space="preserve">                         参数界面</w:t>
      </w:r>
    </w:p>
    <w:p w:rsidR="00B1042D" w:rsidRPr="00B1042D" w:rsidRDefault="00B1042D" w:rsidP="00B1042D">
      <w:pPr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第二步：选好参数后，点击OK显示数据，如下图。</w:t>
      </w:r>
    </w:p>
    <w:p w:rsidR="00B1042D" w:rsidRDefault="00B1042D" w:rsidP="00B1042D">
      <w:pPr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hint="eastAsia"/>
          <w:noProof/>
        </w:rPr>
        <w:drawing>
          <wp:inline distT="0" distB="0" distL="0" distR="0">
            <wp:extent cx="3709670" cy="2079428"/>
            <wp:effectExtent l="19050" t="0" r="508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510" cy="2079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42D" w:rsidRDefault="00B1042D" w:rsidP="00B1042D">
      <w:pPr>
        <w:ind w:firstLineChars="875" w:firstLine="2100"/>
        <w:rPr>
          <w:rFonts w:ascii="楷体" w:eastAsia="楷体" w:hAnsi="楷体" w:hint="eastAsia"/>
          <w:sz w:val="24"/>
          <w:szCs w:val="24"/>
        </w:rPr>
      </w:pPr>
      <w:r w:rsidRPr="00B1042D">
        <w:rPr>
          <w:rFonts w:ascii="楷体" w:eastAsia="楷体" w:hAnsi="楷体" w:hint="eastAsia"/>
          <w:sz w:val="24"/>
          <w:szCs w:val="24"/>
        </w:rPr>
        <w:t>前景变密度，背景变密度初始显示结果</w:t>
      </w:r>
    </w:p>
    <w:p w:rsidR="00B1042D" w:rsidRDefault="00B1042D" w:rsidP="00147864">
      <w:pPr>
        <w:ind w:left="1200" w:hangingChars="500" w:hanging="120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第三步：调节前景数据的色标和透明度，来</w:t>
      </w:r>
      <w:r w:rsidR="00147864">
        <w:rPr>
          <w:rFonts w:ascii="楷体" w:eastAsia="楷体" w:hAnsi="楷体" w:hint="eastAsia"/>
          <w:sz w:val="24"/>
          <w:szCs w:val="24"/>
        </w:rPr>
        <w:t>显示两种数据的不同特点。具体操作为：在显示区右键菜单Colormap-&gt;Foreground Colormap，弹出如下颜色调节界面。</w:t>
      </w:r>
    </w:p>
    <w:p w:rsidR="00147864" w:rsidRPr="00B1042D" w:rsidRDefault="00147864" w:rsidP="00B1042D">
      <w:pPr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2" type="#_x0000_t32" style="position:absolute;left:0;text-align:left;margin-left:127.2pt;margin-top:17.2pt;width:86pt;height:21.6pt;flip:y;z-index:251661312" o:connectortype="straight" strokecolor="#c00000" strokeweight="3pt">
            <v:stroke dashstyle="1 1" endarrow="block"/>
            <v:shadow type="perspective" color="#622423 [1605]" opacity=".5" offset="1pt" offset2="-1pt"/>
          </v:shape>
        </w:pict>
      </w:r>
      <w:r w:rsidRPr="00147864">
        <w:rPr>
          <w:rFonts w:ascii="楷体" w:eastAsia="楷体" w:hAnsi="楷体"/>
          <w:noProof/>
          <w:sz w:val="24"/>
          <w:szCs w:val="24"/>
        </w:rPr>
        <w:pict>
          <v:shape id="_x0000_s2050" type="#_x0000_t202" style="position:absolute;left:0;text-align:left;margin-left:47.8pt;margin-top:25.2pt;width:79pt;height:23.55pt;z-index:251660288;mso-height-percent:200;mso-height-percent:200;mso-width-relative:margin;mso-height-relative:margin">
            <v:textbox style="mso-fit-shape-to-text:t">
              <w:txbxContent>
                <w:p w:rsidR="00147864" w:rsidRDefault="00147864">
                  <w:r>
                    <w:rPr>
                      <w:rFonts w:hint="eastAsia"/>
                    </w:rPr>
                    <w:t>透明度调节线（黑色）</w:t>
                  </w:r>
                </w:p>
              </w:txbxContent>
            </v:textbox>
          </v:shape>
        </w:pict>
      </w:r>
      <w:r>
        <w:rPr>
          <w:rFonts w:ascii="楷体" w:eastAsia="楷体" w:hAnsi="楷体" w:hint="eastAsia"/>
          <w:sz w:val="24"/>
          <w:szCs w:val="24"/>
        </w:rPr>
        <w:t xml:space="preserve">                       </w:t>
      </w: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942590" cy="1668293"/>
            <wp:effectExtent l="1905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174" cy="166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42D" w:rsidRDefault="00147864" w:rsidP="00147864">
      <w:pPr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根据</w:t>
      </w:r>
      <w:r w:rsidR="00921318">
        <w:rPr>
          <w:rFonts w:ascii="楷体" w:eastAsia="楷体" w:hAnsi="楷体" w:hint="eastAsia"/>
          <w:sz w:val="24"/>
          <w:szCs w:val="24"/>
        </w:rPr>
        <w:t>对前景数据的分析，通过调整透明度曲线，可以透明不需要的部分，保留需要的部分。</w:t>
      </w:r>
    </w:p>
    <w:p w:rsidR="00921318" w:rsidRDefault="00BE4F4C" w:rsidP="00BE4F4C">
      <w:pPr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3100766" cy="1767793"/>
            <wp:effectExtent l="19050" t="0" r="4384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181" cy="176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F4C" w:rsidRDefault="00BE4F4C" w:rsidP="00BE4F4C">
      <w:pPr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更换色表和调整透明度后界面</w:t>
      </w:r>
    </w:p>
    <w:p w:rsidR="00BE4F4C" w:rsidRDefault="00BE4F4C" w:rsidP="00BE4F4C">
      <w:pPr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lastRenderedPageBreak/>
        <w:drawing>
          <wp:inline distT="0" distB="0" distL="0" distR="0">
            <wp:extent cx="3732963" cy="1955824"/>
            <wp:effectExtent l="19050" t="0" r="837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560" cy="1956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F4C" w:rsidRDefault="00BE4F4C" w:rsidP="00BE4F4C">
      <w:pPr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调整前景颜色和透明度后的效果</w:t>
      </w:r>
    </w:p>
    <w:p w:rsidR="00BE4F4C" w:rsidRDefault="00BE4F4C" w:rsidP="00BE4F4C">
      <w:pPr>
        <w:ind w:left="360" w:hangingChars="150" w:hanging="36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上图中红色为背景数据信息，深绿色为前景数据信息，这样达到两个数据不同信息同时显示的效果。</w:t>
      </w:r>
    </w:p>
    <w:p w:rsidR="001270A4" w:rsidRPr="00921318" w:rsidRDefault="001270A4" w:rsidP="00BE4F4C">
      <w:pPr>
        <w:ind w:left="360" w:hangingChars="150" w:hanging="360"/>
        <w:rPr>
          <w:rFonts w:ascii="楷体" w:eastAsia="楷体" w:hAnsi="楷体" w:hint="eastAsia"/>
          <w:sz w:val="24"/>
          <w:szCs w:val="24"/>
        </w:rPr>
      </w:pPr>
    </w:p>
    <w:p w:rsidR="00B40ACE" w:rsidRPr="001270A4" w:rsidRDefault="001270A4" w:rsidP="001270A4">
      <w:pPr>
        <w:ind w:firstLineChars="150" w:firstLine="361"/>
        <w:rPr>
          <w:rFonts w:ascii="楷体" w:eastAsia="楷体" w:hAnsi="楷体" w:hint="eastAsia"/>
          <w:b/>
          <w:sz w:val="24"/>
          <w:szCs w:val="24"/>
        </w:rPr>
      </w:pPr>
      <w:r w:rsidRPr="001270A4">
        <w:rPr>
          <w:rFonts w:ascii="楷体" w:eastAsia="楷体" w:hAnsi="楷体" w:hint="eastAsia"/>
          <w:b/>
          <w:sz w:val="24"/>
          <w:szCs w:val="24"/>
        </w:rPr>
        <w:t>（三）</w:t>
      </w:r>
      <w:r w:rsidR="00B40ACE" w:rsidRPr="001270A4">
        <w:rPr>
          <w:rFonts w:ascii="楷体" w:eastAsia="楷体" w:hAnsi="楷体" w:hint="eastAsia"/>
          <w:b/>
          <w:sz w:val="24"/>
          <w:szCs w:val="24"/>
        </w:rPr>
        <w:t>前景波形变面积，背景波形变面积</w:t>
      </w:r>
    </w:p>
    <w:p w:rsidR="001270A4" w:rsidRDefault="001270A4" w:rsidP="001270A4">
      <w:pPr>
        <w:pStyle w:val="a6"/>
        <w:ind w:left="948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此种显示方式下，前景数据和背景数据是都地震。一般用来对比原始地震数据和反演生成的合成记录数据的差异，或者不同处理参数处理结果的差异。</w:t>
      </w:r>
    </w:p>
    <w:p w:rsidR="001270A4" w:rsidRPr="001270A4" w:rsidRDefault="00957BB9" w:rsidP="001270A4">
      <w:pPr>
        <w:pStyle w:val="a6"/>
        <w:ind w:left="948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第一步：选择参数，如下图。</w:t>
      </w:r>
    </w:p>
    <w:p w:rsidR="00F1215E" w:rsidRDefault="00F1215E" w:rsidP="00F1215E">
      <w:pPr>
        <w:pStyle w:val="a6"/>
        <w:ind w:left="948" w:firstLineChars="0" w:firstLine="0"/>
        <w:rPr>
          <w:rFonts w:ascii="楷体" w:eastAsia="楷体" w:hAnsi="楷体" w:hint="eastAsia"/>
          <w:sz w:val="24"/>
          <w:szCs w:val="24"/>
        </w:rPr>
      </w:pPr>
    </w:p>
    <w:p w:rsidR="00957BB9" w:rsidRDefault="00957BB9" w:rsidP="00957BB9">
      <w:pPr>
        <w:pStyle w:val="a6"/>
        <w:ind w:left="948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4012716" cy="2402676"/>
            <wp:effectExtent l="19050" t="0" r="6834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784" cy="2401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BB9" w:rsidRDefault="00957BB9" w:rsidP="00957BB9">
      <w:pPr>
        <w:pStyle w:val="a6"/>
        <w:ind w:left="948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在Variable Area Parameter参数中，选择Gray Display。</w:t>
      </w:r>
    </w:p>
    <w:p w:rsidR="00957BB9" w:rsidRDefault="00957BB9" w:rsidP="00957BB9">
      <w:pPr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第二步：点击OK，显示数据，结果如下图。</w:t>
      </w:r>
    </w:p>
    <w:p w:rsidR="00957BB9" w:rsidRDefault="00957BB9" w:rsidP="00957BB9">
      <w:pPr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lastRenderedPageBreak/>
        <w:drawing>
          <wp:inline distT="0" distB="0" distL="0" distR="0">
            <wp:extent cx="4563110" cy="2553711"/>
            <wp:effectExtent l="19050" t="0" r="889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495" cy="2553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BB9" w:rsidRDefault="00957BB9" w:rsidP="00957BB9">
      <w:pPr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前景背景变面积显示效果</w:t>
      </w:r>
    </w:p>
    <w:p w:rsidR="00957BB9" w:rsidRPr="00957BB9" w:rsidRDefault="00957BB9" w:rsidP="00957BB9">
      <w:pPr>
        <w:rPr>
          <w:rFonts w:ascii="楷体" w:eastAsia="楷体" w:hAnsi="楷体"/>
          <w:sz w:val="24"/>
          <w:szCs w:val="24"/>
        </w:rPr>
      </w:pPr>
    </w:p>
    <w:sectPr w:rsidR="00957BB9" w:rsidRPr="00957BB9" w:rsidSect="00EA1C47">
      <w:headerReference w:type="default" r:id="rId21"/>
      <w:footerReference w:type="default" r:id="rId2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840" w:rsidRDefault="00095840" w:rsidP="009026ED">
      <w:r>
        <w:separator/>
      </w:r>
    </w:p>
  </w:endnote>
  <w:endnote w:type="continuationSeparator" w:id="1">
    <w:p w:rsidR="00095840" w:rsidRDefault="00095840" w:rsidP="00902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ED" w:rsidRDefault="009026ED" w:rsidP="009026ED">
    <w:pPr>
      <w:pStyle w:val="a4"/>
      <w:pBdr>
        <w:top w:val="thinThickSmallGap" w:sz="24" w:space="2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 w:hint="eastAsia"/>
      </w:rPr>
      <w:t>物探技术研发中心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CN"/>
      </w:rPr>
      <w:t xml:space="preserve"> </w:t>
    </w:r>
    <w:fldSimple w:instr=" PAGE   \* MERGEFORMAT ">
      <w:r w:rsidR="00A26086" w:rsidRPr="00A26086">
        <w:rPr>
          <w:rFonts w:asciiTheme="majorHAnsi" w:hAnsiTheme="majorHAnsi"/>
          <w:noProof/>
          <w:lang w:val="zh-CN"/>
        </w:rPr>
        <w:t>2</w:t>
      </w:r>
    </w:fldSimple>
  </w:p>
  <w:p w:rsidR="009026ED" w:rsidRDefault="009026E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840" w:rsidRDefault="00095840" w:rsidP="009026ED">
      <w:r>
        <w:separator/>
      </w:r>
    </w:p>
  </w:footnote>
  <w:footnote w:type="continuationSeparator" w:id="1">
    <w:p w:rsidR="00095840" w:rsidRDefault="00095840" w:rsidP="00902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ED" w:rsidRPr="00F929FC" w:rsidRDefault="00543D25">
    <w:pPr>
      <w:pStyle w:val="a3"/>
      <w:rPr>
        <w:rFonts w:eastAsia="华文楷体"/>
        <w:b/>
        <w:sz w:val="24"/>
      </w:rPr>
    </w:pPr>
    <w:r w:rsidRPr="00F929FC">
      <w:rPr>
        <w:rFonts w:eastAsia="华文楷体" w:hint="eastAsia"/>
        <w:b/>
        <w:sz w:val="24"/>
      </w:rPr>
      <w:t>GeoEast</w:t>
    </w:r>
    <w:r w:rsidRPr="00F929FC">
      <w:rPr>
        <w:rFonts w:eastAsia="华文楷体" w:hint="eastAsia"/>
        <w:b/>
        <w:sz w:val="24"/>
      </w:rPr>
      <w:t>解释系统使用经验分享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45F72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1">
    <w:nsid w:val="4E3F03BE"/>
    <w:multiLevelType w:val="hybridMultilevel"/>
    <w:tmpl w:val="D084CE46"/>
    <w:lvl w:ilvl="0" w:tplc="86A27354">
      <w:start w:val="1"/>
      <w:numFmt w:val="decimal"/>
      <w:lvlText w:val="%1）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8" w:hanging="420"/>
      </w:pPr>
    </w:lvl>
    <w:lvl w:ilvl="2" w:tplc="0409001B" w:tentative="1">
      <w:start w:val="1"/>
      <w:numFmt w:val="lowerRoman"/>
      <w:lvlText w:val="%3."/>
      <w:lvlJc w:val="right"/>
      <w:pPr>
        <w:ind w:left="1728" w:hanging="420"/>
      </w:pPr>
    </w:lvl>
    <w:lvl w:ilvl="3" w:tplc="0409000F" w:tentative="1">
      <w:start w:val="1"/>
      <w:numFmt w:val="decimal"/>
      <w:lvlText w:val="%4."/>
      <w:lvlJc w:val="left"/>
      <w:pPr>
        <w:ind w:left="2148" w:hanging="420"/>
      </w:pPr>
    </w:lvl>
    <w:lvl w:ilvl="4" w:tplc="04090019" w:tentative="1">
      <w:start w:val="1"/>
      <w:numFmt w:val="lowerLetter"/>
      <w:lvlText w:val="%5)"/>
      <w:lvlJc w:val="left"/>
      <w:pPr>
        <w:ind w:left="2568" w:hanging="420"/>
      </w:pPr>
    </w:lvl>
    <w:lvl w:ilvl="5" w:tplc="0409001B" w:tentative="1">
      <w:start w:val="1"/>
      <w:numFmt w:val="lowerRoman"/>
      <w:lvlText w:val="%6."/>
      <w:lvlJc w:val="right"/>
      <w:pPr>
        <w:ind w:left="2988" w:hanging="420"/>
      </w:pPr>
    </w:lvl>
    <w:lvl w:ilvl="6" w:tplc="0409000F" w:tentative="1">
      <w:start w:val="1"/>
      <w:numFmt w:val="decimal"/>
      <w:lvlText w:val="%7."/>
      <w:lvlJc w:val="left"/>
      <w:pPr>
        <w:ind w:left="3408" w:hanging="420"/>
      </w:pPr>
    </w:lvl>
    <w:lvl w:ilvl="7" w:tplc="04090019" w:tentative="1">
      <w:start w:val="1"/>
      <w:numFmt w:val="lowerLetter"/>
      <w:lvlText w:val="%8)"/>
      <w:lvlJc w:val="left"/>
      <w:pPr>
        <w:ind w:left="3828" w:hanging="420"/>
      </w:pPr>
    </w:lvl>
    <w:lvl w:ilvl="8" w:tplc="0409001B" w:tentative="1">
      <w:start w:val="1"/>
      <w:numFmt w:val="lowerRoman"/>
      <w:lvlText w:val="%9."/>
      <w:lvlJc w:val="right"/>
      <w:pPr>
        <w:ind w:left="4248" w:hanging="420"/>
      </w:pPr>
    </w:lvl>
  </w:abstractNum>
  <w:abstractNum w:abstractNumId="2">
    <w:nsid w:val="77C642AC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3">
    <w:nsid w:val="7DBF4D92"/>
    <w:multiLevelType w:val="hybridMultilevel"/>
    <w:tmpl w:val="8338A3FE"/>
    <w:lvl w:ilvl="0" w:tplc="EDF2EBB0">
      <w:start w:val="1"/>
      <w:numFmt w:val="decimal"/>
      <w:lvlText w:val="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>
      <o:colormenu v:ext="edit" fillcolor="none" strokecolor="red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26ED"/>
    <w:rsid w:val="00095840"/>
    <w:rsid w:val="001270A4"/>
    <w:rsid w:val="00147864"/>
    <w:rsid w:val="003A7E15"/>
    <w:rsid w:val="004C3D36"/>
    <w:rsid w:val="00543D25"/>
    <w:rsid w:val="00734774"/>
    <w:rsid w:val="0074403B"/>
    <w:rsid w:val="009026ED"/>
    <w:rsid w:val="00906604"/>
    <w:rsid w:val="00921318"/>
    <w:rsid w:val="00957BB9"/>
    <w:rsid w:val="00A26086"/>
    <w:rsid w:val="00AC622E"/>
    <w:rsid w:val="00B1042D"/>
    <w:rsid w:val="00B30E8B"/>
    <w:rsid w:val="00B40ACE"/>
    <w:rsid w:val="00B8089D"/>
    <w:rsid w:val="00BE4F4C"/>
    <w:rsid w:val="00C110F9"/>
    <w:rsid w:val="00C1300F"/>
    <w:rsid w:val="00D74E71"/>
    <w:rsid w:val="00E50CDA"/>
    <w:rsid w:val="00EA1C47"/>
    <w:rsid w:val="00F00BAF"/>
    <w:rsid w:val="00F1215E"/>
    <w:rsid w:val="00F372EB"/>
    <w:rsid w:val="00F929FC"/>
    <w:rsid w:val="00FD5D41"/>
    <w:rsid w:val="00FE5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red"/>
    </o:shapedefaults>
    <o:shapelayout v:ext="edit">
      <o:idmap v:ext="edit" data="2"/>
      <o:rules v:ext="edit">
        <o:r id="V:Rule2" type="connector" idref="#_x0000_s205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C47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43D25"/>
    <w:pPr>
      <w:keepNext/>
      <w:keepLines/>
      <w:widowControl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26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26E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26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26E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026E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026ED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43D25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a6">
    <w:name w:val="List Paragraph"/>
    <w:basedOn w:val="a"/>
    <w:uiPriority w:val="34"/>
    <w:qFormat/>
    <w:rsid w:val="003A7E15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Pages>6</Pages>
  <Words>219</Words>
  <Characters>1250</Characters>
  <Application>Microsoft Office Word</Application>
  <DocSecurity>0</DocSecurity>
  <Lines>10</Lines>
  <Paragraphs>2</Paragraphs>
  <ScaleCrop>false</ScaleCrop>
  <Company>Lenovo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GeoEast解释系统使用经验分享</dc:title>
  <dc:subject/>
  <dc:creator>lenovo</dc:creator>
  <cp:keywords/>
  <dc:description/>
  <cp:lastModifiedBy>lenovo</cp:lastModifiedBy>
  <cp:revision>13</cp:revision>
  <dcterms:created xsi:type="dcterms:W3CDTF">2018-02-06T03:32:00Z</dcterms:created>
  <dcterms:modified xsi:type="dcterms:W3CDTF">2018-02-09T00:55:00Z</dcterms:modified>
</cp:coreProperties>
</file>